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10" w:rsidRPr="00244C62" w:rsidRDefault="00224010" w:rsidP="002B0289">
      <w:pPr>
        <w:pStyle w:val="body"/>
        <w:spacing w:before="12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  <w:lang w:val="es-ES"/>
        </w:rPr>
        <w:t>Comunicado de prensa</w:t>
      </w:r>
      <w:r w:rsidR="002B0289" w:rsidRPr="00244C62">
        <w:rPr>
          <w:rFonts w:ascii="Arial" w:hAnsi="Arial" w:cs="Arial"/>
          <w:color w:val="000000"/>
          <w:sz w:val="22"/>
          <w:szCs w:val="22"/>
          <w:lang w:val="es-ES"/>
        </w:rPr>
        <w:t>: 4ta Asamblea por la Salud de los Pueblos (PHA4)</w:t>
      </w:r>
    </w:p>
    <w:p w:rsidR="00224010" w:rsidRPr="00244C62" w:rsidRDefault="00224010" w:rsidP="00224010">
      <w:pPr>
        <w:pStyle w:val="body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5E0F6E" w:rsidRDefault="00224010" w:rsidP="005E0F6E">
      <w:pPr>
        <w:pStyle w:val="body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  <w:r w:rsidRPr="00244C6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El Movimiento por la Salud de los Pueblos  celebra el 40 aniversario </w:t>
      </w:r>
      <w:r w:rsidR="005E0F6E" w:rsidRPr="00244C6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la declaración de Alma Ata</w:t>
      </w:r>
      <w:r w:rsidR="005E0F6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, un hito de</w:t>
      </w:r>
      <w:r w:rsidRPr="00244C6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la atención primaria de salud</w:t>
      </w:r>
      <w:r w:rsidR="005E0F6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, </w:t>
      </w:r>
      <w:r w:rsidRPr="00244C6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realizando </w:t>
      </w:r>
      <w:r w:rsidR="00DD4C44" w:rsidRPr="00244C6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su</w:t>
      </w:r>
      <w:r w:rsidRPr="00244C6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4ta Asamblea por la Salud de los Pueblos en  Bangladesh</w:t>
      </w:r>
    </w:p>
    <w:p w:rsidR="00224010" w:rsidRPr="00244C62" w:rsidRDefault="00224010" w:rsidP="005E0F6E">
      <w:pPr>
        <w:pStyle w:val="body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244C62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  <w:t xml:space="preserve">del </w:t>
      </w:r>
      <w:r w:rsidRPr="00244C62">
        <w:rPr>
          <w:rFonts w:ascii="Arial" w:hAnsi="Arial" w:cs="Arial"/>
          <w:b/>
          <w:bCs/>
          <w:color w:val="323232"/>
          <w:sz w:val="22"/>
          <w:szCs w:val="22"/>
          <w:bdr w:val="none" w:sz="0" w:space="0" w:color="auto" w:frame="1"/>
          <w:shd w:val="clear" w:color="auto" w:fill="FFFFFF"/>
        </w:rPr>
        <w:t>15 al 18 noviembre del 2018</w:t>
      </w:r>
    </w:p>
    <w:p w:rsidR="00224010" w:rsidRPr="00244C62" w:rsidRDefault="00DD4C44" w:rsidP="00224010">
      <w:pPr>
        <w:pStyle w:val="body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  <w:lang w:val="es-ES"/>
        </w:rPr>
        <w:t>A 40 años de la decisiva declaración de Alma Ata el Movimiento por la Salud de los Pueblos volverá a Bangladesh para celebrar su 4ta Asamblea (PHA4). E</w:t>
      </w:r>
      <w:r w:rsidR="00224010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l evento tendrá lugar del 15 al 19 de noviembre de 2018 en </w:t>
      </w:r>
      <w:proofErr w:type="spellStart"/>
      <w:r w:rsidR="00224010" w:rsidRPr="00244C62">
        <w:rPr>
          <w:rFonts w:ascii="Arial" w:hAnsi="Arial" w:cs="Arial"/>
          <w:color w:val="000000"/>
          <w:sz w:val="22"/>
          <w:szCs w:val="22"/>
          <w:lang w:val="es-ES"/>
        </w:rPr>
        <w:t>Savar</w:t>
      </w:r>
      <w:proofErr w:type="spellEnd"/>
      <w:r w:rsidR="00224010" w:rsidRPr="00244C62">
        <w:rPr>
          <w:rFonts w:ascii="Arial" w:hAnsi="Arial" w:cs="Arial"/>
          <w:color w:val="000000"/>
          <w:sz w:val="22"/>
          <w:szCs w:val="22"/>
          <w:lang w:val="es-ES"/>
        </w:rPr>
        <w:t>, Bangladesh, 18 años después de la primera Asamblea por la Salud de los Pueblos que se llevó a cabo allí mismo.</w:t>
      </w:r>
    </w:p>
    <w:p w:rsidR="00224010" w:rsidRPr="00244C62" w:rsidRDefault="00224010" w:rsidP="00224010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En el contexto de amenazas crecientes para la salud en todo el mundo y el </w:t>
      </w:r>
      <w:r w:rsidR="00E924CA"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debilitamiento 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 la atención primaria de salud</w:t>
      </w:r>
      <w:r w:rsidR="00DD4C44"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como política pública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la Asamblea reunirá a</w:t>
      </w:r>
      <w:r w:rsidRPr="00244C62">
        <w:rPr>
          <w:rFonts w:ascii="Arial" w:hAnsi="Arial" w:cs="Arial"/>
          <w:color w:val="323232"/>
          <w:sz w:val="22"/>
          <w:szCs w:val="22"/>
          <w:bdr w:val="none" w:sz="0" w:space="0" w:color="auto" w:frame="1"/>
          <w:shd w:val="clear" w:color="auto" w:fill="FFFFFF"/>
        </w:rPr>
        <w:t xml:space="preserve">organizaciones de la sociedad civil y redes, movimientos sociales, los de la academia y otros actores de </w:t>
      </w:r>
      <w:r w:rsidR="00E924CA" w:rsidRPr="00244C62">
        <w:rPr>
          <w:rFonts w:ascii="Arial" w:hAnsi="Arial" w:cs="Arial"/>
          <w:color w:val="323232"/>
          <w:sz w:val="22"/>
          <w:szCs w:val="22"/>
          <w:bdr w:val="none" w:sz="0" w:space="0" w:color="auto" w:frame="1"/>
          <w:shd w:val="clear" w:color="auto" w:fill="FFFFFF"/>
        </w:rPr>
        <w:t>todo e</w:t>
      </w:r>
      <w:r w:rsidRPr="00244C62">
        <w:rPr>
          <w:rFonts w:ascii="Arial" w:hAnsi="Arial" w:cs="Arial"/>
          <w:color w:val="323232"/>
          <w:sz w:val="22"/>
          <w:szCs w:val="22"/>
          <w:bdr w:val="none" w:sz="0" w:space="0" w:color="auto" w:frame="1"/>
          <w:shd w:val="clear" w:color="auto" w:fill="FFFFFF"/>
        </w:rPr>
        <w:t xml:space="preserve">l mundo </w:t>
      </w:r>
      <w:r w:rsidR="00E924CA" w:rsidRPr="00244C62">
        <w:rPr>
          <w:rFonts w:ascii="Arial" w:hAnsi="Arial" w:cs="Arial"/>
          <w:color w:val="323232"/>
          <w:sz w:val="22"/>
          <w:szCs w:val="22"/>
          <w:bdr w:val="none" w:sz="0" w:space="0" w:color="auto" w:frame="1"/>
          <w:shd w:val="clear" w:color="auto" w:fill="FFFFFF"/>
        </w:rPr>
        <w:t>para</w:t>
      </w:r>
      <w:r w:rsidRPr="00244C62">
        <w:rPr>
          <w:rFonts w:ascii="Arial" w:hAnsi="Arial" w:cs="Arial"/>
          <w:color w:val="323232"/>
          <w:sz w:val="22"/>
          <w:szCs w:val="22"/>
          <w:bdr w:val="none" w:sz="0" w:space="0" w:color="auto" w:frame="1"/>
          <w:shd w:val="clear" w:color="auto" w:fill="FFFFFF"/>
        </w:rPr>
        <w:t xml:space="preserve">compartir experiencias,parael aprendizaje mutuo ypara el desarrollo deestrategias conjuntas para luchar contra </w:t>
      </w:r>
      <w:r w:rsidR="00E924CA" w:rsidRPr="00244C62">
        <w:rPr>
          <w:rFonts w:ascii="Arial" w:hAnsi="Arial" w:cs="Arial"/>
          <w:color w:val="323232"/>
          <w:sz w:val="22"/>
          <w:szCs w:val="22"/>
          <w:bdr w:val="none" w:sz="0" w:space="0" w:color="auto" w:frame="1"/>
          <w:shd w:val="clear" w:color="auto" w:fill="FFFFFF"/>
        </w:rPr>
        <w:t xml:space="preserve">los </w:t>
      </w:r>
      <w:r w:rsidRPr="00244C62">
        <w:rPr>
          <w:rFonts w:ascii="Arial" w:hAnsi="Arial" w:cs="Arial"/>
          <w:color w:val="323232"/>
          <w:sz w:val="22"/>
          <w:szCs w:val="22"/>
          <w:bdr w:val="none" w:sz="0" w:space="0" w:color="auto" w:frame="1"/>
          <w:shd w:val="clear" w:color="auto" w:fill="FFFFFF"/>
        </w:rPr>
        <w:t xml:space="preserve">enfoques </w:t>
      </w:r>
      <w:r w:rsidR="00E924CA" w:rsidRPr="00244C62">
        <w:rPr>
          <w:rFonts w:ascii="Arial" w:hAnsi="Arial" w:cs="Arial"/>
          <w:color w:val="323232"/>
          <w:sz w:val="22"/>
          <w:szCs w:val="22"/>
          <w:bdr w:val="none" w:sz="0" w:space="0" w:color="auto" w:frame="1"/>
          <w:shd w:val="clear" w:color="auto" w:fill="FFFFFF"/>
        </w:rPr>
        <w:t>neoliberales en</w:t>
      </w:r>
      <w:r w:rsidRPr="00244C62">
        <w:rPr>
          <w:rFonts w:ascii="Arial" w:hAnsi="Arial" w:cs="Arial"/>
          <w:color w:val="323232"/>
          <w:sz w:val="22"/>
          <w:szCs w:val="22"/>
          <w:bdr w:val="none" w:sz="0" w:space="0" w:color="auto" w:frame="1"/>
          <w:shd w:val="clear" w:color="auto" w:fill="FFFFFF"/>
        </w:rPr>
        <w:t xml:space="preserve"> salud.</w:t>
      </w:r>
    </w:p>
    <w:p w:rsidR="00E924CA" w:rsidRPr="00244C62" w:rsidRDefault="00E924CA" w:rsidP="00E924CA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E924CA" w:rsidRPr="00244C62" w:rsidRDefault="00E924CA" w:rsidP="00E924CA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El </w:t>
      </w:r>
      <w:hyperlink r:id="rId5" w:tgtFrame="_top" w:history="1">
        <w:r w:rsidRPr="00244C62">
          <w:rPr>
            <w:rStyle w:val="hyperlink0"/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Movimiento por la Salud de los Pueblos (MSP)</w:t>
        </w:r>
      </w:hyperlink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es una red global </w:t>
      </w:r>
      <w:r w:rsidRPr="00244C62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que reúne a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activistas de salud de base, académicos, políticos y profesionales, organizaciones de la sociedad civil </w:t>
      </w:r>
      <w:r w:rsidR="00DD4C44" w:rsidRPr="00244C62">
        <w:rPr>
          <w:rFonts w:ascii="Arial" w:hAnsi="Arial" w:cs="Arial"/>
          <w:color w:val="000000"/>
          <w:sz w:val="22"/>
          <w:szCs w:val="22"/>
          <w:lang w:val="es-ES"/>
        </w:rPr>
        <w:t>e instituciones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académicas de todo el mundo, particularmente de </w:t>
      </w:r>
      <w:r w:rsidR="00DD4C44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países de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bajos y medianos ingresos (L y </w:t>
      </w:r>
      <w:r w:rsidR="00DD4C44" w:rsidRPr="00244C62">
        <w:rPr>
          <w:rFonts w:ascii="Arial" w:hAnsi="Arial" w:cs="Arial"/>
          <w:color w:val="000000"/>
          <w:sz w:val="22"/>
          <w:szCs w:val="22"/>
          <w:lang w:val="es-ES"/>
        </w:rPr>
        <w:t>MIC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). </w:t>
      </w:r>
      <w:r w:rsidR="00DD4C44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El MSP tiene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actualmente presencia en más de 80 países. </w:t>
      </w:r>
      <w:r w:rsidR="00DD4C44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Aglutinado tras la Carta por la Salud de los Pueblos </w:t>
      </w:r>
      <w:r w:rsidR="00BF3DCC" w:rsidRPr="00244C62">
        <w:rPr>
          <w:rFonts w:ascii="Arial" w:hAnsi="Arial" w:cs="Arial"/>
          <w:color w:val="000000"/>
          <w:sz w:val="22"/>
          <w:szCs w:val="22"/>
          <w:lang w:val="es-ES"/>
        </w:rPr>
        <w:t>(PCH) el MSP traba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ja en diversos programas y actividades y se ha comprometido a </w:t>
      </w:r>
      <w:r w:rsidR="00BF3DCC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promover una 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atención primaria integral </w:t>
      </w:r>
      <w:r w:rsidR="00BF3DCC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y comprensiva 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de </w:t>
      </w:r>
      <w:r w:rsidR="00BF3DCC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la 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salud</w:t>
      </w:r>
      <w:r w:rsidR="00BF3DCC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así como a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bordar lo</w:t>
      </w:r>
      <w:r w:rsidR="00BF3DCC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sdeterminantes 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Social</w:t>
      </w:r>
      <w:r w:rsidR="00BF3DCC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es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, Económicos y </w:t>
      </w:r>
      <w:proofErr w:type="spellStart"/>
      <w:r w:rsidR="00BF3DCC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A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ambientales</w:t>
      </w:r>
      <w:proofErr w:type="spellEnd"/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 de la salud.</w:t>
      </w:r>
    </w:p>
    <w:p w:rsidR="00E924CA" w:rsidRPr="00244C62" w:rsidRDefault="00E924CA" w:rsidP="00E924CA">
      <w:pPr>
        <w:pStyle w:val="body"/>
        <w:spacing w:before="0" w:beforeAutospacing="0" w:after="0" w:afterAutospacing="0"/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</w:pPr>
    </w:p>
    <w:p w:rsidR="00E924CA" w:rsidRPr="00244C62" w:rsidRDefault="00BF3DCC" w:rsidP="00E924CA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El MSP 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organizó 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su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 primer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a asamblea justamente 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en </w:t>
      </w:r>
      <w:proofErr w:type="spellStart"/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Savar</w:t>
      </w:r>
      <w:proofErr w:type="spellEnd"/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, Bangladesh en diciembre de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l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 2000 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con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 más de 1400 p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articipantes de 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75 </w:t>
      </w:r>
      <w:proofErr w:type="gramStart"/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países 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.</w:t>
      </w:r>
      <w:proofErr w:type="gramEnd"/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 Los participantes desarrollaron y aprob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aron 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 la carta para la salud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 de los pueblos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, documento fundacional de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l MSP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. La segunda Asamblea fue celebrada en Cuenca, Ecuador en julio de 2005 y asistieron 1492 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personas provenientes 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de 92 países. La tercera Asamblea se celebró en 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C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 xml:space="preserve">iudad del </w:t>
      </w:r>
      <w:r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C</w:t>
      </w:r>
      <w:r w:rsidR="00E924CA" w:rsidRPr="00244C62">
        <w:rPr>
          <w:rFonts w:ascii="Arial" w:hAnsi="Arial" w:cs="Arial"/>
          <w:color w:val="323232"/>
          <w:sz w:val="22"/>
          <w:szCs w:val="22"/>
          <w:shd w:val="clear" w:color="auto" w:fill="FFFFFF"/>
          <w:lang w:val="es-ES"/>
        </w:rPr>
        <w:t>abo (Sudáfrica) de julio de 2012 y asistieron cerca de 1000 personas de 90 países.</w:t>
      </w:r>
    </w:p>
    <w:p w:rsidR="00E924CA" w:rsidRPr="00244C62" w:rsidRDefault="00E924CA" w:rsidP="00E924CA">
      <w:pPr>
        <w:pStyle w:val="body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F3DCC" w:rsidRPr="00244C62" w:rsidRDefault="00BF3DCC" w:rsidP="00BF3DCC">
      <w:pPr>
        <w:pStyle w:val="body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Los </w:t>
      </w:r>
      <w:r w:rsidRPr="00244C6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objetivos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de esta Asamblea y actividades asociadas incluyen:</w:t>
      </w:r>
    </w:p>
    <w:p w:rsidR="00BF3DCC" w:rsidRPr="00244C62" w:rsidRDefault="00BF3DCC" w:rsidP="00BF3DCC">
      <w:pPr>
        <w:pStyle w:val="body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> </w:t>
      </w:r>
    </w:p>
    <w:p w:rsidR="00BF3DCC" w:rsidRPr="00244C62" w:rsidRDefault="00BF3DCC" w:rsidP="00BF3DCC">
      <w:pPr>
        <w:pStyle w:val="body"/>
        <w:spacing w:before="0" w:beforeAutospacing="0" w:after="0" w:afterAutospacing="0"/>
        <w:ind w:left="227" w:hanging="227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 xml:space="preserve">- 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Evaluar y analizar críticamente los procesos y políticas que afectan la salud y la atención de la salud a nivel global, regional y local;</w:t>
      </w:r>
    </w:p>
    <w:p w:rsidR="00BF3DCC" w:rsidRPr="00244C62" w:rsidRDefault="00BF3DCC" w:rsidP="00BF3DCC">
      <w:pPr>
        <w:pStyle w:val="body"/>
        <w:spacing w:before="0" w:beforeAutospacing="0" w:after="0" w:afterAutospacing="0"/>
        <w:ind w:left="227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> </w:t>
      </w:r>
    </w:p>
    <w:p w:rsidR="00BF3DCC" w:rsidRPr="00244C62" w:rsidRDefault="00BF3DCC" w:rsidP="00BF3DCC">
      <w:pPr>
        <w:pStyle w:val="body"/>
        <w:spacing w:before="0" w:beforeAutospacing="0" w:after="0" w:afterAutospacing="0"/>
        <w:ind w:left="227" w:hanging="227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 xml:space="preserve">-  Revisar </w:t>
      </w:r>
      <w:r w:rsidR="00A205EC" w:rsidRPr="00244C62">
        <w:rPr>
          <w:rFonts w:ascii="Arial" w:hAnsi="Arial" w:cs="Arial"/>
          <w:color w:val="000000"/>
          <w:sz w:val="22"/>
          <w:szCs w:val="22"/>
        </w:rPr>
        <w:t>c</w:t>
      </w:r>
      <w:proofErr w:type="spellStart"/>
      <w:r w:rsidRPr="00244C62">
        <w:rPr>
          <w:rFonts w:ascii="Arial" w:hAnsi="Arial" w:cs="Arial"/>
          <w:color w:val="000000"/>
          <w:sz w:val="22"/>
          <w:szCs w:val="22"/>
          <w:lang w:val="es-ES"/>
        </w:rPr>
        <w:t>olectivamente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la</w:t>
      </w:r>
      <w:proofErr w:type="spellEnd"/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organización 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y la planificación del MSP y establecer nuevos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mandato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renovado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para los próximos años;</w:t>
      </w:r>
    </w:p>
    <w:p w:rsidR="00BF3DCC" w:rsidRPr="00244C62" w:rsidRDefault="00BF3DCC" w:rsidP="00BF3DCC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> </w:t>
      </w:r>
    </w:p>
    <w:p w:rsidR="00BF3DCC" w:rsidRPr="00244C62" w:rsidRDefault="00BF3DCC" w:rsidP="00BF3DCC">
      <w:pPr>
        <w:pStyle w:val="body"/>
        <w:spacing w:before="0" w:beforeAutospacing="0" w:after="0" w:afterAutospacing="0"/>
        <w:ind w:left="227" w:hanging="227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 xml:space="preserve">- 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Mejorar la capacidad de los activistas de salud de la sociedad civil para participar e intervenir en l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os procesos de formación de políticas,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supervisar y 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monitorear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la implementación depolítica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y para asegurar la re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ndición de cuentas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en el funcionamiento de los sistemas de salud;</w:t>
      </w:r>
    </w:p>
    <w:p w:rsidR="00BF3DCC" w:rsidRPr="00244C62" w:rsidRDefault="00BF3DCC" w:rsidP="00BF3DCC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> </w:t>
      </w:r>
    </w:p>
    <w:p w:rsidR="00BF3DCC" w:rsidRPr="00244C62" w:rsidRDefault="00BF3DCC" w:rsidP="00BF3DCC">
      <w:pPr>
        <w:pStyle w:val="body"/>
        <w:spacing w:before="0" w:beforeAutospacing="0" w:after="0" w:afterAutospacing="0"/>
        <w:ind w:left="227" w:hanging="227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 xml:space="preserve">- 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Fomentar y apoyar diálogo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constructivo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, planificación y movilización 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colectivas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en torno a salud y 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en un sentido amplio a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los determinantes sociales de la salud, </w:t>
      </w:r>
    </w:p>
    <w:p w:rsidR="00BF3DCC" w:rsidRPr="00244C62" w:rsidRDefault="00BF3DCC" w:rsidP="00BF3DCC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> </w:t>
      </w:r>
    </w:p>
    <w:p w:rsidR="00BF3DCC" w:rsidRPr="00244C62" w:rsidRDefault="00BF3DCC" w:rsidP="00BF3DCC">
      <w:pPr>
        <w:pStyle w:val="body"/>
        <w:spacing w:before="0" w:beforeAutospacing="0" w:after="120" w:afterAutospacing="0"/>
        <w:ind w:left="227" w:hanging="227"/>
        <w:rPr>
          <w:rFonts w:ascii="Arial" w:hAnsi="Arial" w:cs="Arial"/>
          <w:color w:val="000000"/>
          <w:sz w:val="22"/>
          <w:szCs w:val="22"/>
          <w:lang w:val="es-ES"/>
        </w:rPr>
      </w:pPr>
      <w:r w:rsidRPr="00244C62">
        <w:rPr>
          <w:rFonts w:ascii="Arial" w:hAnsi="Arial" w:cs="Arial"/>
          <w:color w:val="000000"/>
          <w:sz w:val="22"/>
          <w:szCs w:val="22"/>
        </w:rPr>
        <w:lastRenderedPageBreak/>
        <w:t xml:space="preserve">- 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romover nuevas estructuras y dinámicas sustentables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, tanto dentro como fuera del sector salud, que 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continúen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impulsa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ndo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acci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ones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coordinada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para garantizar el acceso universal y equitativo a la salud y </w:t>
      </w:r>
      <w:r w:rsidR="00A205EC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al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cuidado de la salud.</w:t>
      </w:r>
    </w:p>
    <w:p w:rsidR="00244C62" w:rsidRDefault="00244C62" w:rsidP="00A205EC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205EC" w:rsidRPr="00244C62" w:rsidRDefault="00A205EC" w:rsidP="00A205EC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La PHA4 se centrará en cuatro temas principales o </w:t>
      </w:r>
      <w:r w:rsidRPr="00244C6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"ejes temáticos"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que el MSP continuará desarrollando durante los próximos meses: </w:t>
      </w:r>
    </w:p>
    <w:p w:rsidR="00244C62" w:rsidRPr="00244C62" w:rsidRDefault="00244C62" w:rsidP="00244C62">
      <w:pPr>
        <w:pStyle w:val="NormalWeb"/>
        <w:spacing w:before="12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44C62" w:rsidRPr="00244C62" w:rsidRDefault="00A205EC" w:rsidP="00342E43">
      <w:pPr>
        <w:pStyle w:val="NormalWeb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120" w:afterAutospacing="0"/>
        <w:ind w:left="360"/>
        <w:jc w:val="both"/>
        <w:rPr>
          <w:rFonts w:ascii="Arial" w:eastAsia="Calibri Light" w:hAnsi="Arial" w:cs="Arial"/>
          <w:sz w:val="22"/>
          <w:szCs w:val="22"/>
        </w:rPr>
      </w:pPr>
      <w:r w:rsidRPr="00244C62">
        <w:rPr>
          <w:rFonts w:ascii="Arial" w:hAnsi="Arial" w:cs="Arial"/>
          <w:i/>
          <w:color w:val="000000"/>
          <w:sz w:val="22"/>
          <w:szCs w:val="22"/>
          <w:lang w:val="es-ES"/>
        </w:rPr>
        <w:t>El panorama político y económico del desarrollo y la salud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: abordando temas que van </w:t>
      </w:r>
      <w:r w:rsidR="00244C62" w:rsidRPr="00244C62">
        <w:rPr>
          <w:rFonts w:ascii="Arial" w:hAnsi="Arial" w:cs="Arial"/>
          <w:color w:val="000000"/>
          <w:sz w:val="22"/>
          <w:szCs w:val="22"/>
          <w:lang w:val="es-ES"/>
        </w:rPr>
        <w:t>d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esde el modelo económico dominante del desarrollo, potencia las relaciones entre</w:t>
      </w:r>
      <w:r w:rsidR="00244C62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y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dentro de países, acuerdos comerciales y el papel de poderosos actores como multinacional países. También abordará los factores subyacentes, globales y regionales,que están conduciendo las migraciones forzadas y precipitar una crisis humanitaria en muchas regiones del mundo.</w:t>
      </w:r>
    </w:p>
    <w:p w:rsidR="0064637D" w:rsidRPr="005E0F6E" w:rsidRDefault="0064637D" w:rsidP="00342E43">
      <w:pPr>
        <w:pStyle w:val="NormalWeb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120" w:afterAutospacing="0"/>
        <w:ind w:left="360"/>
        <w:jc w:val="both"/>
        <w:rPr>
          <w:rFonts w:ascii="Arial" w:eastAsia="Calibri Light" w:hAnsi="Arial" w:cs="Arial"/>
          <w:sz w:val="22"/>
          <w:szCs w:val="22"/>
        </w:rPr>
      </w:pPr>
      <w:r w:rsidRPr="00244C62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Entornos físicos y sociales que </w:t>
      </w:r>
      <w:r w:rsidR="0076208E" w:rsidRPr="00244C62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sirven para destruir o para promover </w:t>
      </w:r>
      <w:r w:rsidRPr="00244C62">
        <w:rPr>
          <w:rFonts w:ascii="Arial" w:hAnsi="Arial" w:cs="Arial"/>
          <w:i/>
          <w:color w:val="000000"/>
          <w:sz w:val="22"/>
          <w:szCs w:val="22"/>
          <w:lang w:val="es-ES"/>
        </w:rPr>
        <w:t>la salud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: examinar</w:t>
      </w:r>
      <w:r w:rsidR="002B0289" w:rsidRPr="00244C62">
        <w:rPr>
          <w:rFonts w:ascii="Arial" w:hAnsi="Arial" w:cs="Arial"/>
          <w:color w:val="000000"/>
          <w:sz w:val="22"/>
          <w:szCs w:val="22"/>
          <w:lang w:val="es-ES"/>
        </w:rPr>
        <w:t>á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los factores relacionados con condiciones sociales y ambientales y cómo </w:t>
      </w:r>
      <w:r w:rsidR="0076208E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ellas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contribuyen a la inequidad en el acceso a </w:t>
      </w:r>
      <w:r w:rsidR="0076208E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los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servicios de salud y </w:t>
      </w:r>
      <w:r w:rsidR="0076208E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a los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determinantes sociales de la salud. Se verá en la dinámica de</w:t>
      </w:r>
      <w:r w:rsidR="002B0289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la circulación de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l poder asociado a clase, género, etnia, casta</w:t>
      </w:r>
      <w:r w:rsidR="002B0289" w:rsidRPr="00244C62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y otros que está</w:t>
      </w:r>
      <w:r w:rsidR="002B0289" w:rsidRPr="00244C62">
        <w:rPr>
          <w:rFonts w:ascii="Arial" w:hAnsi="Arial" w:cs="Arial"/>
          <w:color w:val="000000"/>
          <w:sz w:val="22"/>
          <w:szCs w:val="22"/>
          <w:lang w:val="es-ES"/>
        </w:rPr>
        <w:t>n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siendo exacerbado</w:t>
      </w:r>
      <w:r w:rsidR="002B0289" w:rsidRPr="00244C62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por la creciente xenofobia, belicismo y la intolerancia. Este tema también examinará la responsabilidad creciente de la migración forzada, </w:t>
      </w:r>
      <w:r w:rsidR="002B0289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los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conflicto</w:t>
      </w:r>
      <w:r w:rsidR="002B0289" w:rsidRPr="00244C62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2B0289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el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cambio climático y </w:t>
      </w:r>
      <w:r w:rsidR="002B0289"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la 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>degradación del medio ambiente para el profundo impacto que estas dinámicas tienen en los resultados de salud.</w:t>
      </w:r>
    </w:p>
    <w:p w:rsidR="00244C62" w:rsidRPr="00244C62" w:rsidRDefault="0064637D" w:rsidP="00767EA0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Fortalecimiento de los sistemas de salud para </w:t>
      </w:r>
      <w:r w:rsidR="002B0289"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hacerlos más </w:t>
      </w:r>
      <w:r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justo</w:t>
      </w:r>
      <w:r w:rsidR="002167E2"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</w:t>
      </w:r>
      <w:r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, responsable</w:t>
      </w:r>
      <w:r w:rsidR="002167E2"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</w:t>
      </w:r>
      <w:r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, comprensivo</w:t>
      </w:r>
      <w:r w:rsidR="002167E2"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</w:t>
      </w:r>
      <w:r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, integrado</w:t>
      </w:r>
      <w:r w:rsidR="002167E2"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</w:t>
      </w:r>
      <w:r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y </w:t>
      </w:r>
      <w:r w:rsidR="002B0289"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funcionando </w:t>
      </w:r>
      <w:r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en red</w:t>
      </w:r>
      <w:r w:rsidR="002B0289"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es</w:t>
      </w:r>
      <w:r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: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Debat</w:t>
      </w:r>
      <w:r w:rsidR="002B0289"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irá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modelos alternativos de atención sanitaria que s</w:t>
      </w:r>
      <w:r w:rsidR="002B0289"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ean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más apropiados para promover la equidad en el acceso, que s</w:t>
      </w:r>
      <w:r w:rsidR="002B0289"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ea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 justos, y que promuevan sistemas de rendi</w:t>
      </w:r>
      <w:r w:rsidR="002B0289"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ción de 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cuentas en torno a participación popular.</w:t>
      </w:r>
    </w:p>
    <w:p w:rsidR="0064637D" w:rsidRPr="00244C62" w:rsidRDefault="0064637D" w:rsidP="00244C62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Organizar y movilizar una vez más hacia la Salud para Todos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 xml:space="preserve"> Un aspecto clave de la lucha por la salud son las numerosas </w:t>
      </w:r>
      <w:r w:rsidR="0076208E"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 xml:space="preserve">movilizaciones 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 xml:space="preserve">y acciones de grupos, pueblos, movimientos, </w:t>
      </w:r>
      <w:proofErr w:type="spellStart"/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>ONGs</w:t>
      </w:r>
      <w:proofErr w:type="spellEnd"/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 xml:space="preserve"> y organizaciones comunitarias. PHA4 será una plataforma para el intercambio de experiencias, aprendizaje mutuo y estrategias para la acción futura y una fuente de inspiración para continuar con </w:t>
      </w:r>
      <w:r w:rsidR="0076208E"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>esta gesta</w:t>
      </w: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>.</w:t>
      </w:r>
    </w:p>
    <w:p w:rsidR="0064637D" w:rsidRPr="00244C62" w:rsidRDefault="0064637D" w:rsidP="0064637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Calibri Light" w:hAnsi="Arial" w:cs="Arial"/>
        </w:rPr>
      </w:pPr>
    </w:p>
    <w:p w:rsidR="0064637D" w:rsidRPr="00244C62" w:rsidRDefault="0064637D" w:rsidP="002B0289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Esperamos que cerca de 1500 </w:t>
      </w:r>
      <w:r w:rsidRPr="00244C6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participantes</w:t>
      </w:r>
      <w:r w:rsidRPr="00244C62">
        <w:rPr>
          <w:rFonts w:ascii="Arial" w:hAnsi="Arial" w:cs="Arial"/>
          <w:color w:val="000000"/>
          <w:sz w:val="22"/>
          <w:szCs w:val="22"/>
          <w:lang w:val="es-ES"/>
        </w:rPr>
        <w:t xml:space="preserve"> de todo el mundo asistan a la Asamblea, particularmente de países de ingresos bajos y medianos. Los participantes contarán con apoyo para movilizarse en el país y se procura mecanismos de apoyo para la movilización internacional que faciliten el éxito de la Asamblea y contará con representantes de organizaciones y redes de la sociedad civil (incluyendo organizaciones no gubernamentales, organizaciones comunitarias, sindicatos, asociaciones profesionales); gobiernos, organismos intergubernamentales, instituciones académicas y muchos más.</w:t>
      </w:r>
    </w:p>
    <w:p w:rsidR="00224010" w:rsidRPr="00244C62" w:rsidRDefault="00224010" w:rsidP="0064637D">
      <w:pPr>
        <w:pStyle w:val="Body0"/>
        <w:ind w:left="360"/>
        <w:jc w:val="both"/>
        <w:rPr>
          <w:rFonts w:ascii="Arial" w:eastAsia="Calibri Light" w:hAnsi="Arial" w:cs="Arial"/>
          <w:sz w:val="22"/>
          <w:szCs w:val="22"/>
          <w:lang w:val="es-AR"/>
        </w:rPr>
      </w:pPr>
    </w:p>
    <w:p w:rsidR="00AB08EF" w:rsidRPr="00244C62" w:rsidRDefault="00AB08EF" w:rsidP="00AB08EF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Para más información por favor visite</w:t>
      </w:r>
      <w:hyperlink r:id="rId6" w:tgtFrame="_top" w:history="1">
        <w:r w:rsidRPr="00244C62">
          <w:rPr>
            <w:rStyle w:val="hyperlink0"/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 xml:space="preserve">www.phmovement.org </w:t>
        </w:r>
      </w:hyperlink>
      <w:r w:rsidRPr="00244C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 póngase en contacto con</w:t>
      </w:r>
      <w:hyperlink r:id="rId7" w:history="1">
        <w:r w:rsidRPr="00244C62">
          <w:rPr>
            <w:rStyle w:val="hyperlink0"/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 xml:space="preserve">globalsecretariat@phmovement.org </w:t>
        </w:r>
      </w:hyperlink>
    </w:p>
    <w:p w:rsidR="00AB08EF" w:rsidRPr="00244C62" w:rsidRDefault="00AB08EF" w:rsidP="00224010">
      <w:pPr>
        <w:pStyle w:val="Body0"/>
        <w:jc w:val="both"/>
        <w:rPr>
          <w:rFonts w:ascii="Arial" w:eastAsia="Calibri Light" w:hAnsi="Arial" w:cs="Arial"/>
          <w:sz w:val="22"/>
          <w:szCs w:val="22"/>
          <w:lang w:val="es-AR"/>
        </w:rPr>
      </w:pPr>
    </w:p>
    <w:p w:rsidR="00224010" w:rsidRPr="00244C62" w:rsidRDefault="00224010" w:rsidP="00224010">
      <w:pPr>
        <w:pStyle w:val="Body0"/>
        <w:jc w:val="both"/>
        <w:rPr>
          <w:rFonts w:ascii="Arial" w:eastAsia="Calibri Light" w:hAnsi="Arial" w:cs="Arial"/>
          <w:sz w:val="22"/>
          <w:szCs w:val="22"/>
          <w:lang w:val="es-AR"/>
        </w:rPr>
      </w:pPr>
    </w:p>
    <w:p w:rsidR="00224010" w:rsidRPr="00244C62" w:rsidRDefault="00224010" w:rsidP="00224010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24010" w:rsidRPr="00244C62" w:rsidRDefault="00224010" w:rsidP="00224010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> </w:t>
      </w:r>
    </w:p>
    <w:p w:rsidR="00224010" w:rsidRPr="00244C62" w:rsidRDefault="00224010" w:rsidP="00224010">
      <w:pPr>
        <w:pStyle w:val="body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44C62">
        <w:rPr>
          <w:rFonts w:ascii="Arial" w:hAnsi="Arial" w:cs="Arial"/>
          <w:color w:val="000000"/>
          <w:sz w:val="22"/>
          <w:szCs w:val="22"/>
        </w:rPr>
        <w:t> </w:t>
      </w:r>
    </w:p>
    <w:p w:rsidR="00457613" w:rsidRPr="00244C62" w:rsidRDefault="00457613">
      <w:pPr>
        <w:rPr>
          <w:rFonts w:ascii="Arial" w:hAnsi="Arial" w:cs="Arial"/>
        </w:rPr>
      </w:pPr>
    </w:p>
    <w:sectPr w:rsidR="00457613" w:rsidRPr="00244C62" w:rsidSect="00FB0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EC"/>
    <w:multiLevelType w:val="hybridMultilevel"/>
    <w:tmpl w:val="BF968C16"/>
    <w:lvl w:ilvl="0" w:tplc="A4FA8F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5D08"/>
    <w:multiLevelType w:val="hybridMultilevel"/>
    <w:tmpl w:val="8556C2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7D34"/>
    <w:multiLevelType w:val="hybridMultilevel"/>
    <w:tmpl w:val="353811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C2A17"/>
    <w:multiLevelType w:val="hybridMultilevel"/>
    <w:tmpl w:val="50D80908"/>
    <w:numStyleLink w:val="ImportedStyle2"/>
  </w:abstractNum>
  <w:abstractNum w:abstractNumId="4">
    <w:nsid w:val="4C7900EF"/>
    <w:multiLevelType w:val="hybridMultilevel"/>
    <w:tmpl w:val="25A47112"/>
    <w:numStyleLink w:val="ImportedStyle1"/>
  </w:abstractNum>
  <w:abstractNum w:abstractNumId="5">
    <w:nsid w:val="5EEC5A1F"/>
    <w:multiLevelType w:val="hybridMultilevel"/>
    <w:tmpl w:val="50D80908"/>
    <w:styleLink w:val="ImportedStyle2"/>
    <w:lvl w:ilvl="0" w:tplc="D3A852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60C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E06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277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838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680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29C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C4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AF3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33345A"/>
    <w:multiLevelType w:val="hybridMultilevel"/>
    <w:tmpl w:val="25A47112"/>
    <w:styleLink w:val="ImportedStyle1"/>
    <w:lvl w:ilvl="0" w:tplc="508A45D4">
      <w:start w:val="1"/>
      <w:numFmt w:val="bullet"/>
      <w:lvlText w:val="-"/>
      <w:lvlJc w:val="left"/>
      <w:pPr>
        <w:ind w:left="227" w:hanging="2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2AE896">
      <w:start w:val="1"/>
      <w:numFmt w:val="bullet"/>
      <w:lvlText w:val="o"/>
      <w:lvlJc w:val="left"/>
      <w:pPr>
        <w:tabs>
          <w:tab w:val="left" w:pos="227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4D8C4">
      <w:start w:val="1"/>
      <w:numFmt w:val="bullet"/>
      <w:lvlText w:val="▪"/>
      <w:lvlJc w:val="left"/>
      <w:pPr>
        <w:tabs>
          <w:tab w:val="left" w:pos="227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075F4">
      <w:start w:val="1"/>
      <w:numFmt w:val="bullet"/>
      <w:lvlText w:val="•"/>
      <w:lvlJc w:val="left"/>
      <w:pPr>
        <w:tabs>
          <w:tab w:val="left" w:pos="227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2BE2A">
      <w:start w:val="1"/>
      <w:numFmt w:val="bullet"/>
      <w:lvlText w:val="o"/>
      <w:lvlJc w:val="left"/>
      <w:pPr>
        <w:tabs>
          <w:tab w:val="left" w:pos="227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C26D4">
      <w:start w:val="1"/>
      <w:numFmt w:val="bullet"/>
      <w:lvlText w:val="▪"/>
      <w:lvlJc w:val="left"/>
      <w:pPr>
        <w:tabs>
          <w:tab w:val="left" w:pos="227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C4A82">
      <w:start w:val="1"/>
      <w:numFmt w:val="bullet"/>
      <w:lvlText w:val="•"/>
      <w:lvlJc w:val="left"/>
      <w:pPr>
        <w:tabs>
          <w:tab w:val="left" w:pos="227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60B9A">
      <w:start w:val="1"/>
      <w:numFmt w:val="bullet"/>
      <w:lvlText w:val="o"/>
      <w:lvlJc w:val="left"/>
      <w:pPr>
        <w:tabs>
          <w:tab w:val="left" w:pos="227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0B594">
      <w:start w:val="1"/>
      <w:numFmt w:val="bullet"/>
      <w:lvlText w:val="▪"/>
      <w:lvlJc w:val="left"/>
      <w:pPr>
        <w:tabs>
          <w:tab w:val="left" w:pos="227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0E43AE8"/>
    <w:multiLevelType w:val="hybridMultilevel"/>
    <w:tmpl w:val="0E621D8C"/>
    <w:lvl w:ilvl="0" w:tplc="A4FA8F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3638D"/>
    <w:multiLevelType w:val="hybridMultilevel"/>
    <w:tmpl w:val="EDCE8EB2"/>
    <w:lvl w:ilvl="0" w:tplc="41F0F2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010"/>
    <w:rsid w:val="002167E2"/>
    <w:rsid w:val="00224010"/>
    <w:rsid w:val="00244C62"/>
    <w:rsid w:val="002B0289"/>
    <w:rsid w:val="00457613"/>
    <w:rsid w:val="005B5E40"/>
    <w:rsid w:val="005E0F6E"/>
    <w:rsid w:val="0064637D"/>
    <w:rsid w:val="0076208E"/>
    <w:rsid w:val="00A205EC"/>
    <w:rsid w:val="00AB08EF"/>
    <w:rsid w:val="00AE1C28"/>
    <w:rsid w:val="00BF3DCC"/>
    <w:rsid w:val="00DD4C44"/>
    <w:rsid w:val="00E924CA"/>
    <w:rsid w:val="00FB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22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yperlink0">
    <w:name w:val="hyperlink0"/>
    <w:basedOn w:val="DefaultParagraphFont"/>
    <w:rsid w:val="00224010"/>
  </w:style>
  <w:style w:type="character" w:customStyle="1" w:styleId="hyperlink1">
    <w:name w:val="hyperlink1"/>
    <w:basedOn w:val="DefaultParagraphFont"/>
    <w:rsid w:val="00224010"/>
  </w:style>
  <w:style w:type="paragraph" w:styleId="NormalWeb">
    <w:name w:val="Normal (Web)"/>
    <w:basedOn w:val="Normal"/>
    <w:unhideWhenUsed/>
    <w:rsid w:val="0022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ListParagraph">
    <w:name w:val="List Paragraph"/>
    <w:basedOn w:val="Normal"/>
    <w:qFormat/>
    <w:rsid w:val="0022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Body0">
    <w:name w:val="Body"/>
    <w:rsid w:val="002240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0">
    <w:name w:val="Hyperlink.0"/>
    <w:basedOn w:val="DefaultParagraphFont"/>
    <w:rsid w:val="00224010"/>
    <w:rPr>
      <w:rFonts w:ascii="Calibri Light" w:eastAsia="Calibri Light" w:hAnsi="Calibri Light" w:cs="Calibri Light"/>
      <w:color w:val="0000FF"/>
      <w:sz w:val="22"/>
      <w:szCs w:val="22"/>
      <w:u w:val="single" w:color="0000FF"/>
    </w:rPr>
  </w:style>
  <w:style w:type="character" w:customStyle="1" w:styleId="Hyperlink10">
    <w:name w:val="Hyperlink.1"/>
    <w:basedOn w:val="DefaultParagraphFont"/>
    <w:rsid w:val="00224010"/>
    <w:rPr>
      <w:rFonts w:ascii="Calibri Light" w:eastAsia="Calibri Light" w:hAnsi="Calibri Light" w:cs="Calibri Light"/>
      <w:color w:val="135DB1"/>
      <w:sz w:val="22"/>
      <w:szCs w:val="22"/>
      <w:u w:val="none" w:color="135DB1"/>
      <w:shd w:val="clear" w:color="auto" w:fill="FFFFFF"/>
    </w:rPr>
  </w:style>
  <w:style w:type="numbering" w:customStyle="1" w:styleId="ImportedStyle1">
    <w:name w:val="Imported Style 1"/>
    <w:rsid w:val="00224010"/>
    <w:pPr>
      <w:numPr>
        <w:numId w:val="1"/>
      </w:numPr>
    </w:pPr>
  </w:style>
  <w:style w:type="numbering" w:customStyle="1" w:styleId="ImportedStyle2">
    <w:name w:val="Imported Style 2"/>
    <w:rsid w:val="0022401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secretariat@phmove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translator.com/bv.aspx?from=en&amp;to=es&amp;a=http%3A%2F%2Fwww.phmovement.org%2F" TargetMode="External"/><Relationship Id="rId5" Type="http://schemas.openxmlformats.org/officeDocument/2006/relationships/hyperlink" Target="https://www.microsofttranslator.com/bv.aspx?from=en&amp;to=es&amp;a=http%3A%2F%2Fwww.phmovement.org%2F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PC</dc:creator>
  <cp:lastModifiedBy>AMIT SEN GUPTA</cp:lastModifiedBy>
  <cp:revision>2</cp:revision>
  <dcterms:created xsi:type="dcterms:W3CDTF">2018-05-12T09:48:00Z</dcterms:created>
  <dcterms:modified xsi:type="dcterms:W3CDTF">2018-05-12T09:48:00Z</dcterms:modified>
</cp:coreProperties>
</file>