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jc w:val="center"/>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Heading1"/>
        <w:jc w:val="center"/>
        <w:rPr>
          <w:rFonts w:ascii="Liberation Serif" w:hAnsi="Liberation Serif"/>
          <w:sz w:val="20"/>
          <w:szCs w:val="20"/>
        </w:rPr>
      </w:pPr>
      <w:r>
        <w:rPr>
          <w:rFonts w:cs="Calibri" w:ascii="Liberation Serif" w:hAnsi="Liberation Serif" w:cstheme="minorHAnsi"/>
          <w:sz w:val="20"/>
          <w:szCs w:val="20"/>
          <w:lang w:val="en-US"/>
        </w:rPr>
        <w:t>Israel’s arrest of HWC Leaders is an attack on Palestinians’ Right to Health</w:t>
      </w:r>
    </w:p>
    <w:p>
      <w:pPr>
        <w:pStyle w:val="Textbody"/>
        <w:jc w:val="center"/>
        <w:rPr/>
      </w:pPr>
      <w:r>
        <w:rPr>
          <w:rStyle w:val="StrongEmphasis"/>
          <w:rFonts w:cs="Calibri" w:ascii="Liberation Serif" w:hAnsi="Liberation Serif" w:cstheme="minorHAnsi"/>
          <w:sz w:val="20"/>
          <w:szCs w:val="20"/>
          <w:lang w:val="en-US"/>
        </w:rPr>
        <w:t>Statement by the People’s Health Movement</w:t>
      </w:r>
    </w:p>
    <w:p>
      <w:pPr>
        <w:pStyle w:val="Textbody"/>
        <w:jc w:val="center"/>
        <w:rPr/>
      </w:pPr>
      <w:r>
        <w:rPr>
          <w:rStyle w:val="StrongEmphasis"/>
          <w:rFonts w:cs="Calibri" w:ascii="Liberation Serif" w:hAnsi="Liberation Serif" w:cstheme="minorHAnsi"/>
          <w:sz w:val="20"/>
          <w:szCs w:val="20"/>
        </w:rPr>
        <w:t>June 23, 2026</w:t>
      </w:r>
    </w:p>
    <w:p>
      <w:pPr>
        <w:pStyle w:val="Standard"/>
        <w:rPr>
          <w:rFonts w:ascii="Liberation Serif" w:hAnsi="Liberation Serif" w:cs="Calibri" w:cstheme="minorHAnsi"/>
          <w:sz w:val="20"/>
          <w:szCs w:val="20"/>
        </w:rPr>
      </w:pPr>
      <w:r>
        <w:rPr>
          <w:rFonts w:cs="Calibri" w:cstheme="minorHAnsi" w:ascii="Liberation Serif" w:hAnsi="Liberation Serif"/>
          <w:sz w:val="20"/>
          <w:szCs w:val="20"/>
        </w:rPr>
      </w:r>
    </w:p>
    <w:p>
      <w:pPr>
        <w:pStyle w:val="Standard"/>
        <w:jc w:val="both"/>
        <w:rPr>
          <w:rFonts w:ascii="Liberation Serif" w:hAnsi="Liberation Serif"/>
          <w:sz w:val="20"/>
          <w:szCs w:val="20"/>
        </w:rPr>
      </w:pPr>
      <w:r>
        <w:rPr>
          <w:rFonts w:ascii="Liberation Serif" w:hAnsi="Liberation Serif"/>
          <w:sz w:val="20"/>
          <w:szCs w:val="20"/>
        </w:rPr>
        <w:t>In the early hours of 21 June 2026, Israeli forces raided the home of Dr. Mazen Rantisi, Chair of the Board of Health Work Committees (HWC), and carried out arrests targeting HWC personnel in Ramallah. They subsequently searched HWC’s headquarters for approximately one hour before posting a military order closing the organization’s headquarters for one year.</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pPr>
      <w:r>
        <w:rPr>
          <w:rFonts w:cs="Calibri" w:ascii="Liberation Serif" w:hAnsi="Liberation Serif" w:cstheme="minorHAnsi"/>
          <w:sz w:val="20"/>
          <w:szCs w:val="20"/>
          <w:lang w:val="en-US"/>
        </w:rPr>
        <w:t xml:space="preserve">Almost exactly five years after the arrest of former Health Work Committees director </w:t>
      </w:r>
      <w:r>
        <w:rPr>
          <w:rStyle w:val="StrongEmphasis"/>
          <w:rFonts w:cs="Calibri" w:ascii="Liberation Serif" w:hAnsi="Liberation Serif" w:cstheme="minorHAnsi"/>
          <w:sz w:val="20"/>
          <w:szCs w:val="20"/>
          <w:lang w:val="en-US"/>
        </w:rPr>
        <w:t>Shatha Odeh</w:t>
      </w:r>
      <w:r>
        <w:rPr>
          <w:rFonts w:cs="Calibri" w:ascii="Liberation Serif" w:hAnsi="Liberation Serif" w:cstheme="minorHAnsi"/>
          <w:sz w:val="20"/>
          <w:szCs w:val="20"/>
          <w:lang w:val="en-US"/>
        </w:rPr>
        <w:t>, who spent 11 months in Israeli prison on politically motivated charges, Israeli Occupying Forces have once again targeted one of Palestine’s most important health organizations.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cs="Calibri" w:ascii="Liberation Serif" w:hAnsi="Liberation Serif" w:cstheme="minorHAnsi"/>
          <w:sz w:val="20"/>
          <w:szCs w:val="20"/>
          <w:lang w:val="en-US"/>
        </w:rPr>
        <w:t>These arrests are not isolated incidents. They form part of a longstanding pattern of harassment, criminalization, and repression directed at Palestinian civil society organizations and health institutions operating under unlawful military occupation and apartheid. Health Work Committees is one of the most prominent Palestinian non-profit healthcare providers, serving communities that are often marginalized, impoverished, and underserved. For decades, HWC has played a vital role in advancing access to healthcare and defending the right to health for Palestinians living under occupation. Founded in 1985, HWC operates seven clinics and five women’s centres across the West Bank, providing primary, emergency and specialised healthcare, as well as psychosocial, legal and gender-based violence support programmes for women and girls, with a particular focus on marginalized communities.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pPr>
      <w:r>
        <w:rPr>
          <w:rFonts w:cs="Calibri" w:ascii="Liberation Serif" w:hAnsi="Liberation Serif" w:cstheme="minorHAnsi"/>
          <w:b/>
          <w:bCs/>
          <w:sz w:val="20"/>
          <w:szCs w:val="20"/>
          <w:lang w:val="en-US"/>
        </w:rPr>
        <w:t xml:space="preserve">Dr. Mazen Rantisi </w:t>
      </w:r>
      <w:r>
        <w:rPr>
          <w:rFonts w:cs="Calibri" w:ascii="Liberation Serif" w:hAnsi="Liberation Serif" w:cstheme="minorHAnsi"/>
          <w:sz w:val="20"/>
          <w:szCs w:val="20"/>
          <w:lang w:val="en-US"/>
        </w:rPr>
        <w:t xml:space="preserve">is widely respected throughout Palestine and beyond for his lifelong commitment to providing care to those most in need. Known by many as the </w:t>
      </w:r>
      <w:r>
        <w:rPr>
          <w:rStyle w:val="StrongEmphasis"/>
          <w:rFonts w:cs="Calibri" w:ascii="Liberation Serif" w:hAnsi="Liberation Serif" w:cstheme="minorHAnsi"/>
          <w:sz w:val="20"/>
          <w:szCs w:val="20"/>
          <w:lang w:val="en-US"/>
        </w:rPr>
        <w:t>"doctor of the poor and marginalized,"</w:t>
      </w:r>
      <w:r>
        <w:rPr>
          <w:rFonts w:cs="Calibri" w:ascii="Liberation Serif" w:hAnsi="Liberation Serif" w:cstheme="minorHAnsi"/>
          <w:sz w:val="20"/>
          <w:szCs w:val="20"/>
          <w:lang w:val="en-US"/>
        </w:rPr>
        <w:t xml:space="preserve"> he has dedicated his professional life to serving patients regardless of their social or economic circumstances. His arrest is not merely an attack on a physician; it is an attack on a health leader and a defender of health as a fundamental human right.</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ascii="Liberation Serif" w:hAnsi="Liberation Serif"/>
          <w:sz w:val="20"/>
          <w:szCs w:val="20"/>
        </w:rPr>
        <w:t>The arrests took place in the context of a broader and longstanding crackdown on Palestinian health institutions and civil society organizations. Palestinian healthcare providers, human rights organizations, and development organizations have increasingly faced raids, closures, arbitrary detention of staff, and other measures aimed at restricting their work.</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cs="Calibri" w:ascii="Liberation Serif" w:hAnsi="Liberation Serif" w:cstheme="minorHAnsi"/>
          <w:sz w:val="20"/>
          <w:szCs w:val="20"/>
          <w:lang w:val="en-US"/>
        </w:rPr>
        <w:t>HWC is an important part of the People´s Health Movement (PHM), and we stand in full solidarity with the organization, its staff, and the patients and communities it serves.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pPr>
      <w:r>
        <w:rPr>
          <w:rFonts w:cs="Calibri" w:ascii="Liberation Serif" w:hAnsi="Liberation Serif" w:cstheme="minorHAnsi"/>
          <w:sz w:val="20"/>
          <w:szCs w:val="20"/>
          <w:lang w:val="en-US"/>
        </w:rPr>
        <w:t xml:space="preserve">The current assault on HWC follows a well-established pattern. In June 2021, Israeli Occupying Forces raided HWC’s headquarters, confiscated computers and documents, and imposed a six-month closure order. One month later, HWC Director </w:t>
      </w:r>
      <w:hyperlink r:id="rId2">
        <w:r>
          <w:rPr>
            <w:rFonts w:cs="Calibri" w:ascii="Liberation Serif" w:hAnsi="Liberation Serif" w:cstheme="minorHAnsi"/>
            <w:sz w:val="20"/>
            <w:szCs w:val="20"/>
            <w:lang w:val="en-US"/>
          </w:rPr>
          <w:t>Shatha Odeh</w:t>
        </w:r>
      </w:hyperlink>
      <w:r>
        <w:rPr>
          <w:rFonts w:cs="Calibri" w:ascii="Liberation Serif" w:hAnsi="Liberation Serif" w:cstheme="minorHAnsi"/>
          <w:sz w:val="20"/>
          <w:szCs w:val="20"/>
          <w:lang w:val="en-US"/>
        </w:rPr>
        <w:t xml:space="preserve"> was arrested and imprisoned. These measures were widely </w:t>
      </w:r>
      <w:hyperlink r:id="rId3">
        <w:r>
          <w:rPr>
            <w:rFonts w:cs="Calibri" w:ascii="Liberation Serif" w:hAnsi="Liberation Serif" w:cstheme="minorHAnsi"/>
            <w:sz w:val="20"/>
            <w:szCs w:val="20"/>
            <w:lang w:val="en-US"/>
          </w:rPr>
          <w:t>condemned internationally</w:t>
        </w:r>
      </w:hyperlink>
      <w:r>
        <w:rPr>
          <w:rFonts w:cs="Calibri" w:ascii="Liberation Serif" w:hAnsi="Liberation Serif" w:cstheme="minorHAnsi"/>
          <w:sz w:val="20"/>
          <w:szCs w:val="20"/>
          <w:lang w:val="en-US"/>
        </w:rPr>
        <w:t xml:space="preserve"> </w:t>
      </w:r>
      <w:r>
        <w:rPr>
          <w:rStyle w:val="Lletraperdefectedelpargraf"/>
          <w:rFonts w:cs="Calibri" w:ascii="Liberation Serif" w:hAnsi="Liberation Serif" w:cstheme="minorHAnsi"/>
          <w:sz w:val="20"/>
          <w:szCs w:val="20"/>
          <w:lang w:val="en-GB"/>
        </w:rPr>
        <w:t>by international human rights organisations, health networks and solidarity movements.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ascii="Liberation Serif" w:hAnsi="Liberation Serif"/>
          <w:sz w:val="20"/>
          <w:szCs w:val="20"/>
        </w:rPr>
        <w:t>The arrest of Dr. Mazen Rantisi and the targeting of HWC cannot be viewed in isolation. They form part of a systematic assault on Palestinian healthcare and those who defend it. Over the past two and a half years, Israel's genocidal campaign in Gaza has been marked by the destruction of hospitals and health infrastructure, the detention of medical personnel, and the killing of hundreds of healthcare workers. At the same time, Palestinian health organizations in the West Bank have faced raids, closures, criminalization, and the persecution of their leaders. Whether through the bombing of hospitals in Gaza or the targeting of health institutions and health workers in the West Bank, the message is the same: Palestinian healthcare itself has become a target.</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ascii="Liberation Serif" w:hAnsi="Liberation Serif"/>
          <w:sz w:val="20"/>
          <w:szCs w:val="20"/>
        </w:rPr>
        <w:t>As one HWC staff member stated following the arrests and closure order: "The closure of the headquarters may not immediately stop our work, but we fear that our health centres will be the next target." This fear is well-founded. The closure of HWC's headquarters raises serious concerns about the safety and continuity of healthcare services provided through its network of clinics and community programmes.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ascii="Liberation Serif" w:hAnsi="Liberation Serif"/>
          <w:sz w:val="20"/>
          <w:szCs w:val="20"/>
        </w:rPr>
        <w:t>The People’s Health Movement unequivocally denounces the arrest of Dr. Mazen Rantisi, the closure order imposed on HWC´s headquarters, and the ongoing repression targeting Palestinian health institutions and civil society organizations.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cs="Calibri" w:ascii="Liberation Serif" w:hAnsi="Liberation Serif" w:cstheme="minorHAnsi"/>
          <w:sz w:val="20"/>
          <w:szCs w:val="20"/>
        </w:rPr>
        <w:t>We call for:</w:t>
      </w:r>
    </w:p>
    <w:p>
      <w:pPr>
        <w:pStyle w:val="Standard"/>
        <w:numPr>
          <w:ilvl w:val="0"/>
          <w:numId w:val="2"/>
        </w:numPr>
        <w:jc w:val="both"/>
        <w:rPr>
          <w:rFonts w:ascii="Liberation Serif" w:hAnsi="Liberation Serif"/>
          <w:sz w:val="20"/>
          <w:szCs w:val="20"/>
        </w:rPr>
      </w:pPr>
      <w:r>
        <w:rPr>
          <w:rFonts w:ascii="Liberation Serif" w:hAnsi="Liberation Serif"/>
          <w:sz w:val="20"/>
          <w:szCs w:val="20"/>
        </w:rPr>
        <w:t>The immediate and unconditional release of Dr. Mazen Rantisi and all Palestinian health workers and civil society personnel arbitrarily detained</w:t>
      </w:r>
    </w:p>
    <w:p>
      <w:pPr>
        <w:pStyle w:val="Standard"/>
        <w:numPr>
          <w:ilvl w:val="0"/>
          <w:numId w:val="2"/>
        </w:numPr>
        <w:jc w:val="both"/>
        <w:rPr>
          <w:rFonts w:ascii="Liberation Serif" w:hAnsi="Liberation Serif"/>
          <w:sz w:val="20"/>
          <w:szCs w:val="20"/>
        </w:rPr>
      </w:pPr>
      <w:r>
        <w:rPr>
          <w:rFonts w:cs="Calibri" w:ascii="Liberation Serif" w:hAnsi="Liberation Serif" w:cstheme="minorHAnsi"/>
          <w:sz w:val="20"/>
          <w:szCs w:val="20"/>
          <w:lang w:val="en-US"/>
        </w:rPr>
        <w:t>The immediate reversal of the closure order against HWC</w:t>
      </w:r>
    </w:p>
    <w:p>
      <w:pPr>
        <w:pStyle w:val="Standard"/>
        <w:numPr>
          <w:ilvl w:val="0"/>
          <w:numId w:val="2"/>
        </w:numPr>
        <w:jc w:val="both"/>
        <w:rPr>
          <w:rFonts w:ascii="Liberation Serif" w:hAnsi="Liberation Serif"/>
          <w:sz w:val="20"/>
          <w:szCs w:val="20"/>
        </w:rPr>
      </w:pPr>
      <w:r>
        <w:rPr>
          <w:rFonts w:cs="Calibri" w:ascii="Liberation Serif" w:hAnsi="Liberation Serif" w:cstheme="minorHAnsi"/>
          <w:sz w:val="20"/>
          <w:szCs w:val="20"/>
          <w:lang w:val="en-US"/>
        </w:rPr>
        <w:t>Protection of Palestinian health workers and healthcare institutions from attacks, harassment, and arbitrary detention</w:t>
      </w:r>
    </w:p>
    <w:p>
      <w:pPr>
        <w:pStyle w:val="Standard"/>
        <w:numPr>
          <w:ilvl w:val="0"/>
          <w:numId w:val="2"/>
        </w:numPr>
        <w:jc w:val="both"/>
        <w:rPr>
          <w:rFonts w:ascii="Liberation Serif" w:hAnsi="Liberation Serif"/>
          <w:sz w:val="20"/>
          <w:szCs w:val="20"/>
        </w:rPr>
      </w:pPr>
      <w:r>
        <w:rPr>
          <w:rFonts w:cs="Calibri" w:ascii="Liberation Serif" w:hAnsi="Liberation Serif" w:cstheme="minorHAnsi"/>
          <w:sz w:val="20"/>
          <w:szCs w:val="20"/>
          <w:lang w:val="en-US"/>
        </w:rPr>
        <w:t>International accountability for violations of the right to health and attacks on healthcare under occupation</w:t>
      </w:r>
    </w:p>
    <w:p>
      <w:pPr>
        <w:pStyle w:val="Standard"/>
        <w:numPr>
          <w:ilvl w:val="0"/>
          <w:numId w:val="2"/>
        </w:numPr>
        <w:jc w:val="both"/>
        <w:rPr>
          <w:rFonts w:ascii="Liberation Serif" w:hAnsi="Liberation Serif"/>
          <w:sz w:val="20"/>
          <w:szCs w:val="20"/>
        </w:rPr>
      </w:pPr>
      <w:r>
        <w:rPr>
          <w:rFonts w:cs="Calibri" w:ascii="Liberation Serif" w:hAnsi="Liberation Serif" w:cstheme="minorHAnsi"/>
          <w:sz w:val="20"/>
          <w:szCs w:val="20"/>
          <w:lang w:val="en-US"/>
        </w:rPr>
        <w:t>Sustained international solidarity with Palestinian civil society and health organizations</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p>
      <w:pPr>
        <w:pStyle w:val="Standard"/>
        <w:jc w:val="both"/>
        <w:rPr>
          <w:rFonts w:ascii="Liberation Serif" w:hAnsi="Liberation Serif"/>
          <w:sz w:val="20"/>
          <w:szCs w:val="20"/>
        </w:rPr>
      </w:pPr>
      <w:r>
        <w:rPr>
          <w:rFonts w:cs="Calibri" w:ascii="Liberation Serif" w:hAnsi="Liberation Serif" w:cstheme="minorHAnsi"/>
          <w:sz w:val="20"/>
          <w:szCs w:val="20"/>
          <w:lang w:val="en-US"/>
        </w:rPr>
        <w:t>The right to health cannot exist where health workers are imprisoned, health institutions are shut down, and communities are denied access to care. The international community must not remain silent. Defending Palestinian health workers is inseparable from defending the Palestinian people’s right to health, dignity, self-determination, and freedom.</w:t>
      </w:r>
    </w:p>
    <w:p>
      <w:pPr>
        <w:pStyle w:val="Standard"/>
        <w:jc w:val="both"/>
        <w:rPr>
          <w:rFonts w:ascii="Liberation Serif" w:hAnsi="Liberation Serif" w:cs="Calibri" w:cstheme="minorHAnsi"/>
          <w:sz w:val="20"/>
          <w:szCs w:val="20"/>
          <w:lang w:val="en-US"/>
        </w:rPr>
      </w:pPr>
      <w:r>
        <w:rPr>
          <w:rFonts w:cs="Calibri" w:cstheme="minorHAnsi" w:ascii="Liberation Serif" w:hAnsi="Liberation Serif"/>
          <w:sz w:val="20"/>
          <w:szCs w:val="20"/>
          <w:lang w:val="en-US"/>
        </w:rPr>
      </w:r>
    </w:p>
    <w:sectPr>
      <w:headerReference w:type="default" r:id="rId4"/>
      <w:type w:val="nextPage"/>
      <w:pgSz w:w="11906" w:h="16838"/>
      <w:pgMar w:left="1134" w:right="1134" w:gutter="0" w:header="72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880995" cy="6699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2880995" cy="6699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09" w:hanging="283"/>
      </w:pPr>
      <w:rPr>
        <w:rFonts w:ascii="Symbol" w:hAnsi="Symbol" w:cs="Symbol" w:hint="default"/>
      </w:rPr>
    </w:lvl>
    <w:lvl w:ilvl="1">
      <w:start w:val="0"/>
      <w:numFmt w:val="bullet"/>
      <w:lvlText w:val=""/>
      <w:lvlJc w:val="left"/>
      <w:pPr>
        <w:tabs>
          <w:tab w:val="num" w:pos="0"/>
        </w:tabs>
        <w:ind w:left="1418" w:hanging="283"/>
      </w:pPr>
      <w:rPr>
        <w:rFonts w:ascii="Symbol" w:hAnsi="Symbol" w:cs="Symbol" w:hint="default"/>
      </w:rPr>
    </w:lvl>
    <w:lvl w:ilvl="2">
      <w:start w:val="0"/>
      <w:numFmt w:val="bullet"/>
      <w:lvlText w:val=""/>
      <w:lvlJc w:val="left"/>
      <w:pPr>
        <w:tabs>
          <w:tab w:val="num" w:pos="0"/>
        </w:tabs>
        <w:ind w:left="2127" w:hanging="283"/>
      </w:pPr>
      <w:rPr>
        <w:rFonts w:ascii="Symbol" w:hAnsi="Symbol" w:cs="Symbol" w:hint="default"/>
      </w:rPr>
    </w:lvl>
    <w:lvl w:ilvl="3">
      <w:start w:val="0"/>
      <w:numFmt w:val="bullet"/>
      <w:lvlText w:val=""/>
      <w:lvlJc w:val="left"/>
      <w:pPr>
        <w:tabs>
          <w:tab w:val="num" w:pos="0"/>
        </w:tabs>
        <w:ind w:left="2836" w:hanging="283"/>
      </w:pPr>
      <w:rPr>
        <w:rFonts w:ascii="Symbol" w:hAnsi="Symbol" w:cs="Symbol" w:hint="default"/>
      </w:rPr>
    </w:lvl>
    <w:lvl w:ilvl="4">
      <w:start w:val="0"/>
      <w:numFmt w:val="bullet"/>
      <w:lvlText w:val=""/>
      <w:lvlJc w:val="left"/>
      <w:pPr>
        <w:tabs>
          <w:tab w:val="num" w:pos="0"/>
        </w:tabs>
        <w:ind w:left="3545" w:hanging="283"/>
      </w:pPr>
      <w:rPr>
        <w:rFonts w:ascii="Symbol" w:hAnsi="Symbol" w:cs="Symbol" w:hint="default"/>
      </w:rPr>
    </w:lvl>
    <w:lvl w:ilvl="5">
      <w:start w:val="0"/>
      <w:numFmt w:val="bullet"/>
      <w:lvlText w:val=""/>
      <w:lvlJc w:val="left"/>
      <w:pPr>
        <w:tabs>
          <w:tab w:val="num" w:pos="0"/>
        </w:tabs>
        <w:ind w:left="4254" w:hanging="283"/>
      </w:pPr>
      <w:rPr>
        <w:rFonts w:ascii="Symbol" w:hAnsi="Symbol" w:cs="Symbol" w:hint="default"/>
      </w:rPr>
    </w:lvl>
    <w:lvl w:ilvl="6">
      <w:start w:val="0"/>
      <w:numFmt w:val="bullet"/>
      <w:lvlText w:val=""/>
      <w:lvlJc w:val="left"/>
      <w:pPr>
        <w:tabs>
          <w:tab w:val="num" w:pos="0"/>
        </w:tabs>
        <w:ind w:left="4963" w:hanging="283"/>
      </w:pPr>
      <w:rPr>
        <w:rFonts w:ascii="Symbol" w:hAnsi="Symbol" w:cs="Symbol" w:hint="default"/>
      </w:rPr>
    </w:lvl>
    <w:lvl w:ilvl="7">
      <w:start w:val="0"/>
      <w:numFmt w:val="bullet"/>
      <w:lvlText w:val=""/>
      <w:lvlJc w:val="left"/>
      <w:pPr>
        <w:tabs>
          <w:tab w:val="num" w:pos="0"/>
        </w:tabs>
        <w:ind w:left="5672" w:hanging="283"/>
      </w:pPr>
      <w:rPr>
        <w:rFonts w:ascii="Symbol" w:hAnsi="Symbol" w:cs="Symbol" w:hint="default"/>
      </w:rPr>
    </w:lvl>
    <w:lvl w:ilvl="8">
      <w:start w:val="0"/>
      <w:numFmt w:val="bullet"/>
      <w:lvlText w:val=""/>
      <w:lvlJc w:val="left"/>
      <w:pPr>
        <w:tabs>
          <w:tab w:val="num" w:pos="0"/>
        </w:tabs>
        <w:ind w:lef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Setting w:name="useWord2013TrackBottomHyphenation" w:uri="http://schemas.microsoft.com/office/word" w:val="1"/>
  </w:compat>
  <w:themeFontLang w:val="en-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B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es-BO" w:eastAsia="zh-CN" w:bidi="hi-IN"/>
    </w:rPr>
  </w:style>
  <w:style w:type="paragraph" w:styleId="Heading1">
    <w:name w:val="Heading 1"/>
    <w:basedOn w:val="Ttulo"/>
    <w:next w:val="Textbody"/>
    <w:uiPriority w:val="9"/>
    <w:qFormat/>
    <w:pPr>
      <w:outlineLvl w:val="0"/>
    </w:pPr>
    <w:rPr>
      <w:rFonts w:ascii="Liberation Serif" w:hAnsi="Liberation Serif" w:eastAsia="NSimSun"/>
      <w:b/>
      <w:bCs/>
      <w:sz w:val="48"/>
      <w:szCs w:val="48"/>
    </w:rPr>
  </w:style>
  <w:style w:type="paragraph" w:styleId="Heading3">
    <w:name w:val="Heading 3"/>
    <w:basedOn w:val="Ttulo"/>
    <w:next w:val="Textbody"/>
    <w:uiPriority w:val="9"/>
    <w:semiHidden/>
    <w:unhideWhenUsed/>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Bolos" w:customStyle="1">
    <w:name w:val="Bolos"/>
    <w:qFormat/>
    <w:rPr>
      <w:rFonts w:ascii="OpenSymbol" w:hAnsi="OpenSymbol" w:eastAsia="OpenSymbol" w:cs="OpenSymbol"/>
    </w:rPr>
  </w:style>
  <w:style w:type="character" w:styleId="StrongEmphasis" w:customStyle="1">
    <w:name w:val="Strong Emphasis"/>
    <w:qFormat/>
    <w:rPr>
      <w:b/>
      <w:bCs/>
    </w:rPr>
  </w:style>
  <w:style w:type="character" w:styleId="Internetlink" w:customStyle="1">
    <w:name w:val="Internet link"/>
    <w:qFormat/>
    <w:rPr>
      <w:color w:val="000080"/>
      <w:u w:val="single"/>
    </w:rPr>
  </w:style>
  <w:style w:type="character" w:styleId="Lletraperdefectedelpargraf" w:customStyle="1">
    <w:name w:val="Lletra per defecte del paràgraf"/>
    <w:qFormat/>
    <w:rPr/>
  </w:style>
  <w:style w:type="character" w:styleId="VisitedInternetLink" w:customStyle="1">
    <w:name w:val="Visited Internet Link"/>
    <w:qFormat/>
    <w:rPr>
      <w:color w:val="800000"/>
      <w:u w:val="single"/>
    </w:rPr>
  </w:style>
  <w:style w:type="character" w:styleId="HeaderChar" w:customStyle="1">
    <w:name w:val="Header Char"/>
    <w:basedOn w:val="DefaultParagraphFont"/>
    <w:uiPriority w:val="99"/>
    <w:qFormat/>
    <w:rsid w:val="00c51773"/>
    <w:rPr>
      <w:rFonts w:cs="Mangal"/>
      <w:szCs w:val="21"/>
    </w:rPr>
  </w:style>
  <w:style w:type="character" w:styleId="FooterChar" w:customStyle="1">
    <w:name w:val="Footer Char"/>
    <w:basedOn w:val="DefaultParagraphFont"/>
    <w:uiPriority w:val="99"/>
    <w:qFormat/>
    <w:rsid w:val="00c51773"/>
    <w:rPr>
      <w:rFonts w:cs="Mangal"/>
      <w:szCs w:val="21"/>
    </w:rPr>
  </w:style>
  <w:style w:type="character" w:styleId="Hyperlink">
    <w:name w:val="Hyperlink"/>
    <w:rPr>
      <w:color w:val="000080"/>
      <w:u w:val="single"/>
    </w:rPr>
  </w:style>
  <w:style w:type="paragraph" w:styleId="Ttulo" w:customStyle="1">
    <w:name w:val="Título"/>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es-BO"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Citaenbloque" w:customStyle="1">
    <w:name w:val="Cita en bloque"/>
    <w:basedOn w:val="Standard"/>
    <w:qFormat/>
    <w:pPr>
      <w:spacing w:before="0" w:after="283"/>
      <w:ind w:left="567" w:right="567"/>
    </w:pPr>
    <w:rPr/>
  </w:style>
  <w:style w:type="paragraph" w:styleId="Cabeceraypie">
    <w:name w:val="Cabecera y pie"/>
    <w:basedOn w:val="Normal"/>
    <w:qFormat/>
    <w:pPr/>
    <w:rPr/>
  </w:style>
  <w:style w:type="paragraph" w:styleId="Header">
    <w:name w:val="Header"/>
    <w:basedOn w:val="Normal"/>
    <w:link w:val="HeaderChar"/>
    <w:uiPriority w:val="99"/>
    <w:unhideWhenUsed/>
    <w:rsid w:val="00c51773"/>
    <w:pPr>
      <w:tabs>
        <w:tab w:val="clear" w:pos="709"/>
        <w:tab w:val="center" w:pos="4680" w:leader="none"/>
        <w:tab w:val="right" w:pos="9360" w:leader="none"/>
      </w:tabs>
    </w:pPr>
    <w:rPr>
      <w:rFonts w:cs="Mangal"/>
      <w:szCs w:val="21"/>
    </w:rPr>
  </w:style>
  <w:style w:type="paragraph" w:styleId="Footer">
    <w:name w:val="Footer"/>
    <w:basedOn w:val="Normal"/>
    <w:link w:val="FooterChar"/>
    <w:uiPriority w:val="99"/>
    <w:unhideWhenUsed/>
    <w:rsid w:val="00c51773"/>
    <w:pPr>
      <w:tabs>
        <w:tab w:val="clear" w:pos="709"/>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2T4oZYMSMLA" TargetMode="External"/><Relationship Id="rId3" Type="http://schemas.openxmlformats.org/officeDocument/2006/relationships/hyperlink" Target="https://www.frontlinedefenders.org/en/statement-report/over-190-organizations-demand-international-community-stand-against-raids-and"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LibreOffice/7.6.2.1$Windows_X86_64 LibreOffice_project/56f7684011345957bbf33a7ee678afaf4d2ba333</Application>
  <AppVersion>15.0000</AppVersion>
  <Pages>2</Pages>
  <Words>790</Words>
  <Characters>4581</Characters>
  <CharactersWithSpaces>5346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2026-06-24T21:01:00Z</dcterms:created>
  <dc:creator/>
  <dc:description/>
  <dc:language>es-BO</dc:language>
  <cp:lastModifiedBy/>
  <dcterms:modified xsi:type="dcterms:W3CDTF">2026-07-01T08:05:42Z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